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7AD9B6">
      <w:pPr>
        <w:widowControl/>
        <w:shd w:val="clear" w:color="auto" w:fill="FFFFFF"/>
        <w:spacing w:before="120" w:after="120" w:line="360" w:lineRule="auto"/>
        <w:jc w:val="both"/>
        <w:rPr>
          <w:rFonts w:hint="eastAsia" w:ascii="仿宋_GB2312" w:hAnsi="方正仿宋_GB2312" w:eastAsia="仿宋_GB2312" w:cs="方正仿宋_GB2312"/>
          <w:b/>
          <w:bCs/>
          <w:color w:val="auto"/>
          <w:kern w:val="0"/>
          <w:sz w:val="36"/>
          <w:szCs w:val="36"/>
          <w:lang w:val="en-US" w:eastAsia="zh-CN" w:bidi="ar"/>
        </w:rPr>
      </w:pPr>
      <w:r>
        <w:rPr>
          <w:rFonts w:hint="eastAsia" w:ascii="仿宋" w:hAnsi="仿宋" w:eastAsia="仿宋" w:cs="仿宋"/>
          <w:b w:val="0"/>
          <w:bCs w:val="0"/>
          <w:color w:val="auto"/>
          <w:spacing w:val="20"/>
          <w:sz w:val="28"/>
          <w:szCs w:val="28"/>
          <w:lang w:val="en-US" w:eastAsia="zh-CN"/>
        </w:rPr>
        <w:t xml:space="preserve">附件1             </w:t>
      </w:r>
      <w:r>
        <w:rPr>
          <w:rFonts w:hint="eastAsia" w:ascii="仿宋_GB2312" w:hAnsi="方正仿宋_GB2312" w:eastAsia="仿宋_GB2312" w:cs="方正仿宋_GB2312"/>
          <w:b/>
          <w:bCs/>
          <w:color w:val="auto"/>
          <w:kern w:val="0"/>
          <w:sz w:val="36"/>
          <w:szCs w:val="36"/>
          <w:lang w:val="en-US" w:eastAsia="zh-CN" w:bidi="ar"/>
        </w:rPr>
        <w:t>天府学研究中心</w:t>
      </w:r>
    </w:p>
    <w:p w14:paraId="6558DE43">
      <w:pPr>
        <w:widowControl/>
        <w:shd w:val="clear" w:color="auto" w:fill="FFFFFF"/>
        <w:spacing w:before="120" w:after="120" w:line="360" w:lineRule="auto"/>
        <w:jc w:val="center"/>
        <w:rPr>
          <w:rFonts w:hint="default" w:ascii="仿宋_GB2312" w:hAnsi="方正仿宋_GB2312" w:eastAsia="仿宋_GB2312" w:cs="方正仿宋_GB2312"/>
          <w:b/>
          <w:bCs/>
          <w:color w:val="auto"/>
          <w:kern w:val="0"/>
          <w:sz w:val="36"/>
          <w:szCs w:val="36"/>
          <w:lang w:val="en-US" w:eastAsia="zh-CN" w:bidi="ar"/>
        </w:rPr>
      </w:pPr>
      <w:r>
        <w:rPr>
          <w:rFonts w:hint="eastAsia" w:ascii="仿宋" w:hAnsi="仿宋" w:eastAsia="仿宋" w:cs="仿宋"/>
          <w:b/>
          <w:bCs/>
          <w:color w:val="auto"/>
          <w:kern w:val="0"/>
          <w:sz w:val="36"/>
          <w:szCs w:val="36"/>
          <w:lang w:val="en-US" w:eastAsia="zh-CN" w:bidi="ar"/>
        </w:rPr>
        <w:t>2026</w:t>
      </w:r>
      <w:r>
        <w:rPr>
          <w:rFonts w:hint="eastAsia" w:ascii="仿宋_GB2312" w:hAnsi="方正仿宋_GB2312" w:eastAsia="仿宋_GB2312" w:cs="方正仿宋_GB2312"/>
          <w:b/>
          <w:bCs/>
          <w:color w:val="auto"/>
          <w:kern w:val="0"/>
          <w:sz w:val="36"/>
          <w:szCs w:val="36"/>
          <w:lang w:val="en-US" w:eastAsia="zh-CN" w:bidi="ar"/>
        </w:rPr>
        <w:t>年规划研究课题选题指南</w:t>
      </w:r>
    </w:p>
    <w:p w14:paraId="3EADF230">
      <w:pPr>
        <w:rPr>
          <w:rFonts w:hint="eastAsia" w:ascii="方正仿宋_GB2312" w:hAnsi="方正仿宋_GB2312" w:eastAsia="方正仿宋_GB2312" w:cs="方正仿宋_GB2312"/>
          <w:b/>
          <w:bCs/>
          <w:color w:val="auto"/>
          <w:sz w:val="28"/>
          <w:szCs w:val="28"/>
          <w:lang w:eastAsia="zh-CN"/>
        </w:rPr>
      </w:pPr>
      <w:r>
        <w:rPr>
          <w:rFonts w:hint="eastAsia" w:ascii="方正仿宋_GB2312" w:hAnsi="方正仿宋_GB2312" w:eastAsia="方正仿宋_GB2312" w:cs="方正仿宋_GB2312"/>
          <w:b/>
          <w:bCs/>
          <w:color w:val="auto"/>
          <w:sz w:val="28"/>
          <w:szCs w:val="28"/>
          <w:lang w:val="en-US" w:eastAsia="zh-CN"/>
        </w:rPr>
        <w:t>方向一：</w:t>
      </w:r>
      <w:r>
        <w:rPr>
          <w:rFonts w:hint="eastAsia" w:ascii="方正仿宋_GB2312" w:hAnsi="方正仿宋_GB2312" w:eastAsia="方正仿宋_GB2312" w:cs="方正仿宋_GB2312"/>
          <w:b/>
          <w:bCs/>
          <w:color w:val="auto"/>
          <w:sz w:val="28"/>
          <w:szCs w:val="28"/>
        </w:rPr>
        <w:t>战略定位与宏观视野</w:t>
      </w:r>
    </w:p>
    <w:p w14:paraId="2D958E92">
      <w:pP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1.“十五五”时期天府学在国家区域协调发展战略中的功能定位研究 </w:t>
      </w:r>
    </w:p>
    <w:p w14:paraId="26CA674B">
      <w:pP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——基于成渝地区双城经济圈建设国家战略腹地的视角</w:t>
      </w:r>
    </w:p>
    <w:p w14:paraId="703F9B5A">
      <w:pP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2.从“经济大省”迈向“经济强省”：四川高质量发展中的“挑大梁”机制与天府学支撑体系研究</w:t>
      </w:r>
    </w:p>
    <w:p w14:paraId="6CC4113B">
      <w:pP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3.全球城市文明比较视野下的“天府学”建构路径研究 ——以北京学、南京学、温州学、首尔学、巴黎学、东京学为参照</w:t>
      </w:r>
    </w:p>
    <w:p w14:paraId="179634C2">
      <w:pP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4.中国式现代化区域实践的“天府样本”研究：共同富裕、城乡融合与区域协同的多维探索</w:t>
      </w:r>
    </w:p>
    <w:p w14:paraId="4B271154">
      <w:pPr>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5.人类命运共同体理念下天府文化国际传播研究</w:t>
      </w:r>
    </w:p>
    <w:p w14:paraId="188E9A56">
      <w:pPr>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highlight w:val="none"/>
          <w:lang w:val="en-US" w:eastAsia="zh-CN"/>
        </w:rPr>
        <w:t>6.新时代四川乡村振兴的实践路径与天府治理创新研究</w:t>
      </w:r>
    </w:p>
    <w:p w14:paraId="19F857CE">
      <w:pPr>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b/>
          <w:bCs/>
          <w:color w:val="auto"/>
          <w:sz w:val="28"/>
          <w:szCs w:val="28"/>
          <w:lang w:val="en-US" w:eastAsia="zh-CN"/>
        </w:rPr>
        <w:t>方向二：</w:t>
      </w:r>
      <w:r>
        <w:rPr>
          <w:rFonts w:hint="eastAsia" w:ascii="方正仿宋_GB2312" w:hAnsi="方正仿宋_GB2312" w:eastAsia="方正仿宋_GB2312" w:cs="方正仿宋_GB2312"/>
          <w:b/>
          <w:bCs/>
          <w:color w:val="auto"/>
          <w:sz w:val="28"/>
          <w:szCs w:val="28"/>
        </w:rPr>
        <w:t>历史文化根脉与文明传承</w:t>
      </w:r>
    </w:p>
    <w:p w14:paraId="7AA12C6E">
      <w:pP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7</w:t>
      </w:r>
      <w:r>
        <w:rPr>
          <w:rFonts w:hint="eastAsia" w:ascii="方正仿宋_GB2312" w:hAnsi="方正仿宋_GB2312" w:eastAsia="方正仿宋_GB2312" w:cs="方正仿宋_GB2312"/>
          <w:color w:val="auto"/>
          <w:sz w:val="28"/>
          <w:szCs w:val="28"/>
        </w:rPr>
        <w:t>.古蜀文明谱系建构与中华文明多元一体格局研究——以三星堆、宝墩遗址、濛溪河遗址为核心的文化考古整合分析</w:t>
      </w:r>
    </w:p>
    <w:p w14:paraId="6CE3E5A2">
      <w:pP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8</w:t>
      </w:r>
      <w:r>
        <w:rPr>
          <w:rFonts w:hint="eastAsia" w:ascii="方正仿宋_GB2312" w:hAnsi="方正仿宋_GB2312" w:eastAsia="方正仿宋_GB2312" w:cs="方正仿宋_GB2312"/>
          <w:color w:val="auto"/>
          <w:sz w:val="28"/>
          <w:szCs w:val="28"/>
        </w:rPr>
        <w:t>.都江堰水利工程的可持续智慧与天府生态哲学研究——从“天府粮仓”到“锦绣天府”的千年生态治理逻辑</w:t>
      </w:r>
    </w:p>
    <w:p w14:paraId="65F10F9D">
      <w:pPr>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lang w:val="en-US" w:eastAsia="zh-CN"/>
        </w:rPr>
        <w:t>9.</w:t>
      </w:r>
      <w:r>
        <w:rPr>
          <w:rFonts w:hint="eastAsia" w:ascii="方正仿宋_GB2312" w:hAnsi="方正仿宋_GB2312" w:eastAsia="方正仿宋_GB2312" w:cs="方正仿宋_GB2312"/>
          <w:color w:val="auto"/>
          <w:sz w:val="28"/>
          <w:szCs w:val="28"/>
        </w:rPr>
        <w:t>都江堰水利工程的生态智慧与景观美学研究——从古代治水理念到当代公园城市建设的文化启示</w:t>
      </w:r>
    </w:p>
    <w:p w14:paraId="3B4198FE">
      <w:pP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10</w:t>
      </w:r>
      <w:r>
        <w:rPr>
          <w:rFonts w:hint="eastAsia" w:ascii="方正仿宋_GB2312" w:hAnsi="方正仿宋_GB2312" w:eastAsia="方正仿宋_GB2312" w:cs="方正仿宋_GB2312"/>
          <w:color w:val="auto"/>
          <w:sz w:val="28"/>
          <w:szCs w:val="28"/>
        </w:rPr>
        <w:t>.天府文化的精神内核与当代转化研究——“安逸四川”的生活哲学、“爽村建设”的治理创新与文化认同重塑</w:t>
      </w:r>
    </w:p>
    <w:p w14:paraId="2F3E3F8A">
      <w:pP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11</w:t>
      </w:r>
      <w:r>
        <w:rPr>
          <w:rFonts w:hint="eastAsia" w:ascii="方正仿宋_GB2312" w:hAnsi="方正仿宋_GB2312" w:eastAsia="方正仿宋_GB2312" w:cs="方正仿宋_GB2312"/>
          <w:color w:val="auto"/>
          <w:sz w:val="28"/>
          <w:szCs w:val="28"/>
        </w:rPr>
        <w:t>.巴蜀文献整理与天府学术传统谱系研究——从扬雄、李调元到近现代蜀学的传承与创新</w:t>
      </w:r>
    </w:p>
    <w:p w14:paraId="2FC27EAC">
      <w:pPr>
        <w:pStyle w:val="2"/>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12.蜀道文化遗产的历史价值与当代转化研究——基于古蜀文化交流与文旅融合发展的综合视角</w:t>
      </w:r>
    </w:p>
    <w:p w14:paraId="0077F75C">
      <w:pPr>
        <w:pStyle w:val="2"/>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13.巴蜀石窟艺术的文化内涵与数字化保护传承研究——以安岳石刻、大足石刻等为代表的艺术价值与传播路径探索</w:t>
      </w:r>
    </w:p>
    <w:p w14:paraId="2AEFF3B2">
      <w:pPr>
        <w:pStyle w:val="2"/>
        <w:rPr>
          <w:rFonts w:hint="eastAsia" w:ascii="方正仿宋_GB2312" w:hAnsi="方正仿宋_GB2312" w:eastAsia="方正仿宋_GB2312" w:cs="方正仿宋_GB2312"/>
          <w:b w:val="0"/>
          <w:bCs w:val="0"/>
          <w:color w:val="auto"/>
          <w:spacing w:val="20"/>
          <w:sz w:val="28"/>
          <w:szCs w:val="28"/>
          <w:highlight w:val="none"/>
          <w:lang w:val="en-US" w:eastAsia="zh-CN"/>
        </w:rPr>
      </w:pPr>
      <w:r>
        <w:rPr>
          <w:rFonts w:hint="eastAsia" w:ascii="方正仿宋_GB2312" w:hAnsi="方正仿宋_GB2312" w:eastAsia="方正仿宋_GB2312" w:cs="方正仿宋_GB2312"/>
          <w:b w:val="0"/>
          <w:bCs w:val="0"/>
          <w:color w:val="auto"/>
          <w:spacing w:val="20"/>
          <w:sz w:val="28"/>
          <w:szCs w:val="28"/>
          <w:highlight w:val="none"/>
          <w:lang w:val="en-US" w:eastAsia="zh-CN"/>
        </w:rPr>
        <w:t>14.天府文化视域下蜀道文化遗产数字化展示设计研究</w:t>
      </w:r>
    </w:p>
    <w:p w14:paraId="77FD5640">
      <w:pPr>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15.天府文化的红色基因传承</w:t>
      </w:r>
    </w:p>
    <w:p w14:paraId="7190C6FE">
      <w:pPr>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16.四川红色文化与天府文化融合的思想政治教育资源开发与利用研究</w:t>
      </w:r>
    </w:p>
    <w:p w14:paraId="07009B8E">
      <w:pPr>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17.天府文化融入高校马克思主义理论教育的路径与实践研究</w:t>
      </w:r>
    </w:p>
    <w:p w14:paraId="695B98CE">
      <w:pPr>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18.铸牢中华民族共同体意识视野下古蜀文明与中原文明的融合发展研究</w:t>
      </w:r>
    </w:p>
    <w:p w14:paraId="0435D4E6">
      <w:pPr>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b/>
          <w:bCs/>
          <w:color w:val="auto"/>
          <w:sz w:val="28"/>
          <w:szCs w:val="28"/>
          <w:lang w:val="en-US" w:eastAsia="zh-CN"/>
        </w:rPr>
        <w:t>方向三：</w:t>
      </w:r>
      <w:r>
        <w:rPr>
          <w:rFonts w:hint="eastAsia" w:ascii="方正仿宋_GB2312" w:hAnsi="方正仿宋_GB2312" w:eastAsia="方正仿宋_GB2312" w:cs="方正仿宋_GB2312"/>
          <w:b/>
          <w:bCs/>
          <w:color w:val="auto"/>
          <w:sz w:val="28"/>
          <w:szCs w:val="28"/>
        </w:rPr>
        <w:t>区域发展与空间协同</w:t>
      </w:r>
    </w:p>
    <w:p w14:paraId="6173D133">
      <w:pP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19</w:t>
      </w:r>
      <w:r>
        <w:rPr>
          <w:rFonts w:hint="eastAsia" w:ascii="方正仿宋_GB2312" w:hAnsi="方正仿宋_GB2312" w:eastAsia="方正仿宋_GB2312" w:cs="方正仿宋_GB2312"/>
          <w:color w:val="auto"/>
          <w:sz w:val="28"/>
          <w:szCs w:val="28"/>
        </w:rPr>
        <w:t>.成渝双城经济圈空间协同机制与“成都都市圈”功能优化研究——基于多中心网络结构的城市群治理模型</w:t>
      </w:r>
    </w:p>
    <w:p w14:paraId="132258E2">
      <w:pP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20</w:t>
      </w:r>
      <w:r>
        <w:rPr>
          <w:rFonts w:hint="eastAsia" w:ascii="方正仿宋_GB2312" w:hAnsi="方正仿宋_GB2312" w:eastAsia="方正仿宋_GB2312" w:cs="方正仿宋_GB2312"/>
          <w:color w:val="auto"/>
          <w:sz w:val="28"/>
          <w:szCs w:val="28"/>
        </w:rPr>
        <w:t>.天府新区创新驱动发展与未来城市治理试验研究——科技、产业、制度与文化的四维协同机制</w:t>
      </w:r>
    </w:p>
    <w:p w14:paraId="1C23AE5D">
      <w:pP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21.</w:t>
      </w:r>
      <w:r>
        <w:rPr>
          <w:rFonts w:hint="eastAsia" w:ascii="方正仿宋_GB2312" w:hAnsi="方正仿宋_GB2312" w:eastAsia="方正仿宋_GB2312" w:cs="方正仿宋_GB2312"/>
          <w:color w:val="auto"/>
          <w:sz w:val="28"/>
          <w:szCs w:val="28"/>
        </w:rPr>
        <w:t>“天府粮仓”建设与国家粮食安全战略的区域响应机制研究——耕地保护、农业现代化与乡村产业振兴的集成路径</w:t>
      </w:r>
    </w:p>
    <w:p w14:paraId="5A570255">
      <w:pP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22</w:t>
      </w:r>
      <w:r>
        <w:rPr>
          <w:rFonts w:hint="eastAsia" w:ascii="方正仿宋_GB2312" w:hAnsi="方正仿宋_GB2312" w:eastAsia="方正仿宋_GB2312" w:cs="方正仿宋_GB2312"/>
          <w:color w:val="auto"/>
          <w:sz w:val="28"/>
          <w:szCs w:val="28"/>
        </w:rPr>
        <w:t>.从“康养胜地”到“健康中国”：四川生态资源转化与大健康产业体系构建研究</w:t>
      </w:r>
    </w:p>
    <w:p w14:paraId="46EA2736">
      <w:pPr>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b/>
          <w:bCs/>
          <w:color w:val="auto"/>
          <w:sz w:val="28"/>
          <w:szCs w:val="28"/>
          <w:lang w:val="en-US" w:eastAsia="zh-CN"/>
        </w:rPr>
        <w:t>方向四：</w:t>
      </w:r>
      <w:r>
        <w:rPr>
          <w:rFonts w:hint="eastAsia" w:ascii="方正仿宋_GB2312" w:hAnsi="方正仿宋_GB2312" w:eastAsia="方正仿宋_GB2312" w:cs="方正仿宋_GB2312"/>
          <w:b/>
          <w:bCs/>
          <w:color w:val="auto"/>
          <w:sz w:val="28"/>
          <w:szCs w:val="28"/>
        </w:rPr>
        <w:t>生态文明与可持续发展</w:t>
      </w:r>
    </w:p>
    <w:p w14:paraId="2473A153">
      <w:pPr>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23.习近平生态文明思想指引下雅安观鸟旅游促进文旅深度融合的路径与机制研究</w:t>
      </w:r>
    </w:p>
    <w:p w14:paraId="68AAE1EC">
      <w:pPr>
        <w:rPr>
          <w:rFonts w:hint="eastAsia" w:ascii="方正仿宋_GB2312" w:hAnsi="方正仿宋_GB2312" w:eastAsia="方正仿宋_GB2312" w:cs="方正仿宋_GB2312"/>
          <w:color w:val="auto"/>
          <w:sz w:val="28"/>
          <w:szCs w:val="28"/>
          <w:highlight w:val="yellow"/>
          <w:u w:val="none"/>
          <w:lang w:val="en-US" w:eastAsia="zh-CN" w:bidi="ar"/>
        </w:rPr>
      </w:pPr>
      <w:r>
        <w:rPr>
          <w:rFonts w:hint="eastAsia" w:ascii="方正仿宋_GB2312" w:hAnsi="方正仿宋_GB2312" w:eastAsia="方正仿宋_GB2312" w:cs="方正仿宋_GB2312"/>
          <w:color w:val="auto"/>
          <w:sz w:val="28"/>
          <w:szCs w:val="28"/>
          <w:highlight w:val="none"/>
          <w:lang w:val="en-US" w:eastAsia="zh-CN"/>
        </w:rPr>
        <w:t>24.习近平生态文明思想在长江上游生态屏障建设中的天府实践与经验研究</w:t>
      </w:r>
    </w:p>
    <w:p w14:paraId="30539F5A">
      <w:pP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25</w:t>
      </w:r>
      <w:r>
        <w:rPr>
          <w:rFonts w:hint="eastAsia" w:ascii="方正仿宋_GB2312" w:hAnsi="方正仿宋_GB2312" w:eastAsia="方正仿宋_GB2312" w:cs="方正仿宋_GB2312"/>
          <w:color w:val="auto"/>
          <w:sz w:val="28"/>
          <w:szCs w:val="28"/>
        </w:rPr>
        <w:t>.大熊猫国家公园建设与生物多样性保护的“天府模式”研究——生态保护、社区参与与全球话语构建</w:t>
      </w:r>
    </w:p>
    <w:p w14:paraId="34574CF9">
      <w:pP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26</w:t>
      </w:r>
      <w:r>
        <w:rPr>
          <w:rFonts w:hint="eastAsia" w:ascii="方正仿宋_GB2312" w:hAnsi="方正仿宋_GB2312" w:eastAsia="方正仿宋_GB2312" w:cs="方正仿宋_GB2312"/>
          <w:color w:val="auto"/>
          <w:sz w:val="28"/>
          <w:szCs w:val="28"/>
        </w:rPr>
        <w:t>.长江上游生态屏障建设中的天府责任与绿色发展路径研究——基于山水林田湖草沙一体化保护修复</w:t>
      </w:r>
    </w:p>
    <w:p w14:paraId="75E251EF">
      <w:pP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27</w:t>
      </w:r>
      <w:r>
        <w:rPr>
          <w:rFonts w:hint="eastAsia" w:ascii="方正仿宋_GB2312" w:hAnsi="方正仿宋_GB2312" w:eastAsia="方正仿宋_GB2312" w:cs="方正仿宋_GB2312"/>
          <w:color w:val="auto"/>
          <w:sz w:val="28"/>
          <w:szCs w:val="28"/>
        </w:rPr>
        <w:t>.“爽村建设”与宜居宜业和美乡村的四川实践研究——人居环境整治、乡村治理现代化与乡风文明提升</w:t>
      </w:r>
    </w:p>
    <w:p w14:paraId="56593930">
      <w:pPr>
        <w:rPr>
          <w:rFonts w:hint="eastAsia" w:ascii="方正仿宋_GB2312" w:hAnsi="方正仿宋_GB2312" w:eastAsia="方正仿宋_GB2312" w:cs="方正仿宋_GB2312"/>
          <w:b w:val="0"/>
          <w:bCs w:val="0"/>
          <w:color w:val="auto"/>
          <w:spacing w:val="20"/>
          <w:sz w:val="28"/>
          <w:szCs w:val="28"/>
          <w:lang w:val="en-US" w:eastAsia="zh-CN"/>
        </w:rPr>
      </w:pPr>
      <w:r>
        <w:rPr>
          <w:rFonts w:hint="eastAsia" w:ascii="方正仿宋_GB2312" w:hAnsi="方正仿宋_GB2312" w:eastAsia="方正仿宋_GB2312" w:cs="方正仿宋_GB2312"/>
          <w:b w:val="0"/>
          <w:bCs w:val="0"/>
          <w:color w:val="auto"/>
          <w:spacing w:val="20"/>
          <w:sz w:val="28"/>
          <w:szCs w:val="28"/>
          <w:lang w:val="en-US" w:eastAsia="zh-CN"/>
        </w:rPr>
        <w:t>28.蜀道沿线乡村天府文化数智化传播与乡风文明建设研究</w:t>
      </w:r>
    </w:p>
    <w:p w14:paraId="4B7FC508">
      <w:pPr>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b/>
          <w:bCs/>
          <w:color w:val="auto"/>
          <w:sz w:val="28"/>
          <w:szCs w:val="28"/>
          <w:lang w:val="en-US" w:eastAsia="zh-CN"/>
        </w:rPr>
        <w:t>方向五：</w:t>
      </w:r>
      <w:r>
        <w:rPr>
          <w:rFonts w:hint="eastAsia" w:ascii="方正仿宋_GB2312" w:hAnsi="方正仿宋_GB2312" w:eastAsia="方正仿宋_GB2312" w:cs="方正仿宋_GB2312"/>
          <w:b/>
          <w:bCs/>
          <w:color w:val="auto"/>
          <w:sz w:val="28"/>
          <w:szCs w:val="28"/>
        </w:rPr>
        <w:t>文化软实力与教育创新</w:t>
      </w:r>
    </w:p>
    <w:p w14:paraId="4C697A00">
      <w:pP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29</w:t>
      </w:r>
      <w:r>
        <w:rPr>
          <w:rFonts w:hint="eastAsia" w:ascii="方正仿宋_GB2312" w:hAnsi="方正仿宋_GB2312" w:eastAsia="方正仿宋_GB2312" w:cs="方正仿宋_GB2312"/>
          <w:color w:val="auto"/>
          <w:sz w:val="28"/>
          <w:szCs w:val="28"/>
        </w:rPr>
        <w:t>.天府文化国际传播能力建设研究——以三星堆、大熊猫、川菜、川剧等为载体的全球叙事策略</w:t>
      </w:r>
    </w:p>
    <w:p w14:paraId="4FC06A1D">
      <w:pPr>
        <w:ind w:left="280" w:hanging="280" w:hanging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30</w:t>
      </w:r>
      <w:r>
        <w:rPr>
          <w:rFonts w:hint="eastAsia" w:ascii="方正仿宋_GB2312" w:hAnsi="方正仿宋_GB2312" w:eastAsia="方正仿宋_GB2312" w:cs="方正仿宋_GB2312"/>
          <w:color w:val="auto"/>
          <w:sz w:val="28"/>
          <w:szCs w:val="28"/>
        </w:rPr>
        <w:t>.天府教育现代化2035：基础教育优质均衡与高等教育创新驱动</w:t>
      </w:r>
      <w:r>
        <w:rPr>
          <w:rFonts w:hint="eastAsia" w:ascii="方正仿宋_GB2312" w:hAnsi="方正仿宋_GB2312" w:eastAsia="方正仿宋_GB2312" w:cs="方正仿宋_GB2312"/>
          <w:color w:val="auto"/>
          <w:sz w:val="28"/>
          <w:szCs w:val="28"/>
          <w:lang w:val="en-US" w:eastAsia="zh-CN"/>
        </w:rPr>
        <w:t>研</w:t>
      </w:r>
      <w:r>
        <w:rPr>
          <w:rFonts w:hint="eastAsia" w:ascii="方正仿宋_GB2312" w:hAnsi="方正仿宋_GB2312" w:eastAsia="方正仿宋_GB2312" w:cs="方正仿宋_GB2312"/>
          <w:color w:val="auto"/>
          <w:sz w:val="28"/>
          <w:szCs w:val="28"/>
        </w:rPr>
        <w:t>究——服务国家战略与区域发展的教育支撑体系</w:t>
      </w:r>
    </w:p>
    <w:p w14:paraId="449F0A02">
      <w:pP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31</w:t>
      </w:r>
      <w:r>
        <w:rPr>
          <w:rFonts w:hint="eastAsia" w:ascii="方正仿宋_GB2312" w:hAnsi="方正仿宋_GB2312" w:eastAsia="方正仿宋_GB2312" w:cs="方正仿宋_GB2312"/>
          <w:color w:val="auto"/>
          <w:sz w:val="28"/>
          <w:szCs w:val="28"/>
        </w:rPr>
        <w:t>.“安逸四川”生活方式的品牌塑造与文旅融合发展研究——从文化感知到消费体验的转化机制</w:t>
      </w:r>
    </w:p>
    <w:p w14:paraId="46B22CC8">
      <w:pPr>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32</w:t>
      </w:r>
      <w:r>
        <w:rPr>
          <w:rFonts w:hint="eastAsia" w:ascii="方正仿宋_GB2312" w:hAnsi="方正仿宋_GB2312" w:eastAsia="方正仿宋_GB2312" w:cs="方正仿宋_GB2312"/>
          <w:color w:val="auto"/>
          <w:sz w:val="28"/>
          <w:szCs w:val="28"/>
        </w:rPr>
        <w:t>.非物质文化遗产系统性保护与活态传承的天府路径研究——以蜀锦、蜀绣、竹编、川茶等为代表的传统工艺振兴</w:t>
      </w:r>
    </w:p>
    <w:p w14:paraId="270070DC">
      <w:pPr>
        <w:jc w:val="left"/>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b/>
          <w:bCs/>
          <w:color w:val="auto"/>
          <w:sz w:val="28"/>
          <w:szCs w:val="28"/>
          <w:lang w:val="en-US" w:eastAsia="zh-CN"/>
        </w:rPr>
        <w:t>方向六：</w:t>
      </w:r>
      <w:r>
        <w:rPr>
          <w:rFonts w:hint="eastAsia" w:ascii="方正仿宋_GB2312" w:hAnsi="方正仿宋_GB2312" w:eastAsia="方正仿宋_GB2312" w:cs="方正仿宋_GB2312"/>
          <w:b/>
          <w:bCs/>
          <w:color w:val="auto"/>
          <w:sz w:val="28"/>
          <w:szCs w:val="28"/>
        </w:rPr>
        <w:t>交叉融合与前沿探索</w:t>
      </w:r>
    </w:p>
    <w:p w14:paraId="4066922E">
      <w:pP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33</w:t>
      </w:r>
      <w:r>
        <w:rPr>
          <w:rFonts w:hint="eastAsia" w:ascii="方正仿宋_GB2312" w:hAnsi="方正仿宋_GB2312" w:eastAsia="方正仿宋_GB2312" w:cs="方正仿宋_GB2312"/>
          <w:color w:val="auto"/>
          <w:sz w:val="28"/>
          <w:szCs w:val="28"/>
        </w:rPr>
        <w:t>.数字人文视域下的天府历史文化资源数据库建设与智能分析研究</w:t>
      </w:r>
    </w:p>
    <w:p w14:paraId="3D101F33">
      <w:pP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34</w:t>
      </w:r>
      <w:r>
        <w:rPr>
          <w:rFonts w:hint="eastAsia" w:ascii="方正仿宋_GB2312" w:hAnsi="方正仿宋_GB2312" w:eastAsia="方正仿宋_GB2312" w:cs="方正仿宋_GB2312"/>
          <w:color w:val="auto"/>
          <w:sz w:val="28"/>
          <w:szCs w:val="28"/>
        </w:rPr>
        <w:t>.气候变化背景下都江堰灌区水资源适应性管理与风险预警研究</w:t>
      </w:r>
    </w:p>
    <w:p w14:paraId="3B2C11F3">
      <w:pP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35</w:t>
      </w:r>
      <w:r>
        <w:rPr>
          <w:rFonts w:hint="eastAsia" w:ascii="方正仿宋_GB2312" w:hAnsi="方正仿宋_GB2312" w:eastAsia="方正仿宋_GB2312" w:cs="方正仿宋_GB2312"/>
          <w:color w:val="auto"/>
          <w:sz w:val="28"/>
          <w:szCs w:val="28"/>
        </w:rPr>
        <w:t>.“一带一路”背景下天府文化与世界古都文明对话机制研究——以成都与西安、罗马、雅典、京都等城市的文明互鉴</w:t>
      </w:r>
    </w:p>
    <w:p w14:paraId="14BB050E">
      <w:pP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36.</w:t>
      </w:r>
      <w:r>
        <w:rPr>
          <w:rFonts w:hint="eastAsia" w:ascii="方正仿宋_GB2312" w:hAnsi="方正仿宋_GB2312" w:eastAsia="方正仿宋_GB2312" w:cs="方正仿宋_GB2312"/>
          <w:color w:val="auto"/>
          <w:sz w:val="28"/>
          <w:szCs w:val="28"/>
        </w:rPr>
        <w:t>基于“城市大脑”的成都都市圈智慧治理与韧性城市建设研究</w:t>
      </w:r>
    </w:p>
    <w:p w14:paraId="0A8C54C7">
      <w:pP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37</w:t>
      </w:r>
      <w:r>
        <w:rPr>
          <w:rFonts w:hint="eastAsia" w:ascii="方正仿宋_GB2312" w:hAnsi="方正仿宋_GB2312" w:eastAsia="方正仿宋_GB2312" w:cs="方正仿宋_GB2312"/>
          <w:color w:val="auto"/>
          <w:sz w:val="28"/>
          <w:szCs w:val="28"/>
        </w:rPr>
        <w:t>.“引大济岷</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rPr>
        <w:t>工程的文化价值与衍生效应研究</w:t>
      </w:r>
    </w:p>
    <w:p w14:paraId="0E525D6E">
      <w:pP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38</w:t>
      </w:r>
      <w:r>
        <w:rPr>
          <w:rFonts w:hint="eastAsia" w:ascii="方正仿宋_GB2312" w:hAnsi="方正仿宋_GB2312" w:eastAsia="方正仿宋_GB2312" w:cs="方正仿宋_GB2312"/>
          <w:color w:val="auto"/>
          <w:sz w:val="28"/>
          <w:szCs w:val="28"/>
        </w:rPr>
        <w:t>.天府学与四川品牌战略研究——基于川酒、川茶、川药、川果、川人等。</w:t>
      </w:r>
    </w:p>
    <w:p w14:paraId="27B2CFE9">
      <w:pPr>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39.历史唯物主义视域下天府文化的形成机理与精神内核研究</w:t>
      </w:r>
    </w:p>
    <w:p w14:paraId="5B3ED8C6">
      <w:pPr>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40.“安逸四川”背景下天府文化的价值引领与公民思想政治素养提升研究</w:t>
      </w:r>
    </w:p>
    <w:p w14:paraId="33E14BEA">
      <w:pPr>
        <w:rPr>
          <w:rFonts w:hint="eastAsia" w:ascii="方正仿宋_GB2312" w:hAnsi="方正仿宋_GB2312" w:eastAsia="方正仿宋_GB2312" w:cs="方正仿宋_GB2312"/>
          <w:color w:val="auto"/>
          <w:sz w:val="28"/>
          <w:szCs w:val="28"/>
          <w:highlight w:val="yellow"/>
          <w:lang w:val="en-US" w:eastAsia="zh-CN"/>
        </w:rPr>
      </w:pPr>
      <w:r>
        <w:rPr>
          <w:rFonts w:hint="eastAsia" w:ascii="方正仿宋_GB2312" w:hAnsi="方正仿宋_GB2312" w:eastAsia="方正仿宋_GB2312" w:cs="方正仿宋_GB2312"/>
          <w:b w:val="0"/>
          <w:bCs w:val="0"/>
          <w:color w:val="auto"/>
          <w:spacing w:val="20"/>
          <w:sz w:val="28"/>
          <w:szCs w:val="28"/>
          <w:lang w:val="en-US" w:eastAsia="zh-CN"/>
        </w:rPr>
        <w:t>41.数智技术在蜀道文化遗产监测中的应用初探</w:t>
      </w:r>
    </w:p>
    <w:p w14:paraId="18A8CC48">
      <w:pPr>
        <w:pStyle w:val="2"/>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b w:val="0"/>
          <w:bCs w:val="0"/>
          <w:color w:val="auto"/>
          <w:spacing w:val="20"/>
          <w:sz w:val="28"/>
          <w:szCs w:val="28"/>
          <w:lang w:val="en-US" w:eastAsia="zh-CN"/>
        </w:rPr>
        <w:t>42.蜀道文化遗产“空——地”数据采集与标准化规范研究</w:t>
      </w:r>
    </w:p>
    <w:p w14:paraId="226E5773">
      <w:pPr>
        <w:spacing w:line="360" w:lineRule="auto"/>
        <w:jc w:val="left"/>
        <w:rPr>
          <w:rFonts w:hint="eastAsia" w:ascii="仿宋" w:hAnsi="仿宋" w:eastAsia="仿宋" w:cs="仿宋"/>
          <w:b w:val="0"/>
          <w:bCs w:val="0"/>
          <w:color w:val="auto"/>
          <w:spacing w:val="20"/>
          <w:sz w:val="28"/>
          <w:szCs w:val="28"/>
          <w:lang w:val="en-US" w:eastAsia="zh-CN"/>
        </w:rPr>
      </w:pPr>
    </w:p>
    <w:p w14:paraId="01DED7C6">
      <w:pPr>
        <w:rPr>
          <w:color w:val="auto"/>
        </w:rPr>
      </w:pPr>
    </w:p>
    <w:p w14:paraId="13F1C23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066ED6AD-85AF-4203-A49A-68134E2DD564}"/>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embedRegular r:id="rId2" w:fontKey="{69E5F254-81F9-4019-869F-95FCC8AEDEFC}"/>
  </w:font>
  <w:font w:name="方正仿宋_GB2312">
    <w:panose1 w:val="02000000000000000000"/>
    <w:charset w:val="86"/>
    <w:family w:val="auto"/>
    <w:pitch w:val="default"/>
    <w:sig w:usb0="A00002BF" w:usb1="184F6CFA" w:usb2="00000012" w:usb3="00000000" w:csb0="00040001" w:csb1="00000000"/>
    <w:embedRegular r:id="rId3" w:fontKey="{2F11D1D0-6BE7-4EE0-A32D-308A8AE10ADB}"/>
  </w:font>
  <w:font w:name="仿宋">
    <w:panose1 w:val="02010609060101010101"/>
    <w:charset w:val="86"/>
    <w:family w:val="auto"/>
    <w:pitch w:val="default"/>
    <w:sig w:usb0="800002BF" w:usb1="38CF7CFA" w:usb2="00000016" w:usb3="00000000" w:csb0="00040001" w:csb1="00000000"/>
    <w:embedRegular r:id="rId4" w:fontKey="{4C068A8D-83E7-41F3-9CFA-746C1416A4B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866988"/>
    <w:rsid w:val="4A866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2026-04-14T02:15:00Z</dcterms:created>
  <dc:creator>Hruy</dc:creator>
  <cp:lastModifiedBy>Hruy</cp:lastModifiedBy>
  <dcterms:modified xsi:type="dcterms:W3CDTF">2026-04-14T02:16:23Z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4284C62D11EA4B7892FB866E89BC98E8_11</vt:lpwstr>
  </property>
  <property fmtid="{D5CDD505-2E9C-101B-9397-08002B2CF9AE}" pid="4" name="KSOTemplateDocerSaveRecord">
    <vt:lpwstr>eyJoZGlkIjoiMWEyMWI0YTVjNTcxNmVmM2VkODcwN2I3YmZiMzU2ZjkiLCJ1c2VySWQiOiIxMjE0MjcxMTkzIn0=</vt:lpwstr>
  </property>
</Properties>
</file>